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51" w:rsidRDefault="00E85851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85851" w:rsidRPr="00E8585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</w:pPr>
            <w:hyperlink r:id="rId7" w:tooltip="clicca qui per leggere l'articolo" w:history="1">
              <w:r w:rsidRPr="00E85851">
                <w:rPr>
                  <w:rFonts w:ascii="Arial" w:eastAsia="Times New Roman" w:hAnsi="Arial" w:cs="Arial"/>
                  <w:b/>
                  <w:bCs/>
                  <w:color w:val="AC5B19"/>
                  <w:sz w:val="21"/>
                  <w:szCs w:val="21"/>
                  <w:lang w:eastAsia="it-IT"/>
                </w:rPr>
                <w:t xml:space="preserve">MONSIGNOR GALANTINO: A CONVEGNO CEI, “AFFRONTARE LA PRECARIETÀ CON UNA ‘SPERANZA RAGIONEVOLE’” </w:t>
              </w:r>
            </w:hyperlink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55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“Oggi siamo nomadi perché precari”: questo lo slogan scelto dal segretario generale della </w:t>
            </w:r>
            <w:proofErr w:type="spellStart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Cei</w:t>
            </w:r>
            <w:proofErr w:type="spellEnd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, monsignor Nunzio Galantino, che ha aperto questa mattina a Salerno la tavola rotonda “Perché e per cosa sperare nella precarietà”. Al dibattito sono intervenuti il ministro del lavoro, Giuliano Poletti, il ...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85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dal Q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uotidiano di Sabato 25/10/2014</w:t>
            </w:r>
          </w:p>
        </w:tc>
        <w:bookmarkStart w:id="0" w:name="_GoBack"/>
        <w:bookmarkEnd w:id="0"/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it-IT"/>
              </w:rPr>
            </w:pP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</w:pPr>
            <w:hyperlink r:id="rId8" w:tooltip="clicca qui per leggere l'articolo" w:history="1">
              <w:r w:rsidRPr="00E85851">
                <w:rPr>
                  <w:rFonts w:ascii="Arial" w:eastAsia="Times New Roman" w:hAnsi="Arial" w:cs="Arial"/>
                  <w:b/>
                  <w:bCs/>
                  <w:color w:val="AC5B19"/>
                  <w:sz w:val="21"/>
                  <w:szCs w:val="21"/>
                  <w:lang w:eastAsia="it-IT"/>
                </w:rPr>
                <w:t>LAVORO: POLETTI (GOVERNO), “GARANZIA GIOVANI È UNO STRUMENTO IMPORTANTE”</w:t>
              </w:r>
            </w:hyperlink>
            <w:r w:rsidRPr="00E85851"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55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“Garanzia Giovani è sicuramente uno strumento importante perché costringe a costruire una infrastruttura e uno strumento per le politiche attive. L’Italia non ha mai avuto strumenti di questo tipo e oggi se ne deve dotare”. Lo ha detto questa mattina a Salerno il ministro del lavoro e politiche soci ...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85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dal Q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uotidiano di Sabato 25/10/2014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it-IT"/>
              </w:rPr>
            </w:pP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</w:pPr>
            <w:hyperlink r:id="rId9" w:tooltip="clicca qui per leggere l'articolo" w:history="1">
              <w:r w:rsidRPr="00E85851">
                <w:rPr>
                  <w:rFonts w:ascii="Arial" w:eastAsia="Times New Roman" w:hAnsi="Arial" w:cs="Arial"/>
                  <w:b/>
                  <w:bCs/>
                  <w:color w:val="AC5B19"/>
                  <w:sz w:val="21"/>
                  <w:szCs w:val="21"/>
                  <w:lang w:eastAsia="it-IT"/>
                </w:rPr>
                <w:t>LAVORO: SAVAGNONE, “PROGETTARE FAMIGLIA IN UNA SITUAZIONE DI PRECARIETÀ”</w:t>
              </w:r>
            </w:hyperlink>
            <w:r w:rsidRPr="00E85851"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55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“Progettare famiglia in una situazione di gravissima precarietà sociale e lavorativa è un problema di ordine sociologico ed economico ma soprattutto di ordine culturale”. Lo ha detto al convegno </w:t>
            </w:r>
            <w:proofErr w:type="spellStart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Cei</w:t>
            </w:r>
            <w:proofErr w:type="spellEnd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 di Salerno Giuseppe </w:t>
            </w:r>
            <w:proofErr w:type="spellStart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Savagnone</w:t>
            </w:r>
            <w:proofErr w:type="spellEnd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, direttore della pastorale culturale della diocesi di Palermo. “C’ ...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85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dal Qu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otidiano di Venerdì 24/10/2014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it-IT"/>
              </w:rPr>
            </w:pP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</w:pPr>
            <w:hyperlink r:id="rId10" w:tooltip="clicca qui per leggere l'articolo" w:history="1">
              <w:r w:rsidRPr="00E85851">
                <w:rPr>
                  <w:rFonts w:ascii="Arial" w:eastAsia="Times New Roman" w:hAnsi="Arial" w:cs="Arial"/>
                  <w:b/>
                  <w:bCs/>
                  <w:color w:val="AC5B19"/>
                  <w:sz w:val="21"/>
                  <w:szCs w:val="21"/>
                  <w:lang w:eastAsia="it-IT"/>
                </w:rPr>
                <w:t>CARDINALE BAGNASCO: A CONVEGNO CEI, “INCENTIVARE L’IMPRESA E IL LAVORO”</w:t>
              </w:r>
            </w:hyperlink>
            <w:r w:rsidRPr="00E85851"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55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“La precarietà sempre più si presenta come una caratteristica dominante del nostro tempo” e “ne fanno esperienza più di altri i giovani”: lo scrive il presidente della </w:t>
            </w:r>
            <w:proofErr w:type="spellStart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Cei</w:t>
            </w:r>
            <w:proofErr w:type="spellEnd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, cardinale Angelo Bagnasco, nel suo messaggio al convegno aperto questo pomeriggio a Salerno. “Sembra porsi una grande ...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85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dal Qu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otidiano di Venerdì 24/10/2014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it-IT"/>
              </w:rPr>
            </w:pP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</w:pPr>
            <w:hyperlink r:id="rId11" w:tooltip="clicca qui per leggere l'articolo" w:history="1">
              <w:r w:rsidRPr="00E85851">
                <w:rPr>
                  <w:rFonts w:ascii="Arial" w:eastAsia="Times New Roman" w:hAnsi="Arial" w:cs="Arial"/>
                  <w:b/>
                  <w:bCs/>
                  <w:color w:val="AC5B19"/>
                  <w:sz w:val="21"/>
                  <w:szCs w:val="21"/>
                  <w:lang w:eastAsia="it-IT"/>
                </w:rPr>
                <w:t>PAPA FRANCESCO: A CONVEGNO CEI, “DOVE NON C’È LAVORO MANCA LA DIGNITÀ”</w:t>
              </w:r>
            </w:hyperlink>
            <w:r w:rsidRPr="00E85851"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55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“Nelle visite compiute in Italia, così come negli incontri con le persone, ho potuto toccare con mano la situazione di tanti giovani disoccupati, in cassa-integrazione, precari. Ma questo non è solo un problema economico, è un problema di dignità”. Lo ha scritto Papa Francesco nel messaggi ...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85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dal Qu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otidiano di Venerdì 24/10/2014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it-IT"/>
              </w:rPr>
            </w:pP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</w:pPr>
            <w:hyperlink r:id="rId12" w:tooltip="clicca qui per leggere l'articolo" w:history="1">
              <w:r w:rsidRPr="00E85851">
                <w:rPr>
                  <w:rFonts w:ascii="Arial" w:eastAsia="Times New Roman" w:hAnsi="Arial" w:cs="Arial"/>
                  <w:b/>
                  <w:bCs/>
                  <w:color w:val="AC5B19"/>
                  <w:sz w:val="21"/>
                  <w:szCs w:val="21"/>
                  <w:lang w:eastAsia="it-IT"/>
                </w:rPr>
                <w:t>CEI: A SALERNO CONVEGNO NAZIONALE “NELLA PRECARIETÀ LA SPERANZA”</w:t>
              </w:r>
            </w:hyperlink>
            <w:r w:rsidRPr="00E85851"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55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“Nella precarietà la speranza” è il titolo del convegno nazionale – promosso da tre Commissioni episcopali </w:t>
            </w:r>
            <w:proofErr w:type="spellStart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Cei</w:t>
            </w:r>
            <w:proofErr w:type="spellEnd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 (Laicato, famiglia e lavoro) – in programma a Salerno dal 24 al 26 ottobre. Scopo dell’iniziativa, spiegano gli organizzatori, “far conoscere le molteplici azioni che le diocesi i ...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85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dal Qu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otidiano di Martedì 21/10/2014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it-IT"/>
              </w:rPr>
            </w:pP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</w:pPr>
            <w:hyperlink r:id="rId13" w:tooltip="clicca qui per leggere l'articolo" w:history="1">
              <w:r w:rsidRPr="00E85851">
                <w:rPr>
                  <w:rFonts w:ascii="Arial" w:eastAsia="Times New Roman" w:hAnsi="Arial" w:cs="Arial"/>
                  <w:b/>
                  <w:bCs/>
                  <w:color w:val="AC5B19"/>
                  <w:sz w:val="21"/>
                  <w:szCs w:val="21"/>
                  <w:lang w:eastAsia="it-IT"/>
                </w:rPr>
                <w:t>FAMIGLIA: MONS. SOLMI, “SI CONVIVE PER INSICUREZZA E ANCHE PERCHÉ SPOSARSI COSTA”</w:t>
              </w:r>
            </w:hyperlink>
            <w:r w:rsidRPr="00E85851"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55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“Sulle convivenze pesa a volte anche un fattore culturale: sposarsi costa. Addirittura il Sinodo ha detto che alcuni non si sposano perché sposarsi è un lusso. E infine, la ricerca della sicurezza: per sposarsi abbiamo bisogno di due stipendi e di una casa e questo oggi non è possibile”: lo ha ...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85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dal Q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uotidiano di Sabato 25/10/2014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it-IT"/>
              </w:rPr>
            </w:pP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</w:pPr>
            <w:hyperlink r:id="rId14" w:tooltip="clicca qui per leggere l'articolo" w:history="1">
              <w:r w:rsidRPr="00E85851">
                <w:rPr>
                  <w:rFonts w:ascii="Arial" w:eastAsia="Times New Roman" w:hAnsi="Arial" w:cs="Arial"/>
                  <w:b/>
                  <w:bCs/>
                  <w:color w:val="AC5B19"/>
                  <w:sz w:val="21"/>
                  <w:szCs w:val="21"/>
                  <w:lang w:eastAsia="it-IT"/>
                </w:rPr>
                <w:t>LAVORO: MASINA (CE), “IMPRESSIONANTI DATI SU RISCHIO POVERTÀ GIOVANI IN ITALIA”</w:t>
              </w:r>
            </w:hyperlink>
            <w:r w:rsidRPr="00E85851"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55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“Garanzia Giovani”, ruolo dei “Centri per l’impiego”, tirocini, sostegni a iniziative innovative, contrasto all’abbandono scolastico: sono alcuni degli strumenti illustrati stamane a Salerno, al convegno </w:t>
            </w:r>
            <w:proofErr w:type="spellStart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Cei</w:t>
            </w:r>
            <w:proofErr w:type="spellEnd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 su giovani e precarietà lavorativa, dalla funzionaria della Commissione europea Cinzia Masin ...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85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dal Q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uotidiano di Sabato 25/10/2014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it-IT"/>
              </w:rPr>
            </w:pP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</w:pPr>
            <w:hyperlink r:id="rId15" w:tooltip="clicca qui per leggere l'articolo" w:history="1">
              <w:r w:rsidRPr="00E85851">
                <w:rPr>
                  <w:rFonts w:ascii="Arial" w:eastAsia="Times New Roman" w:hAnsi="Arial" w:cs="Arial"/>
                  <w:b/>
                  <w:bCs/>
                  <w:color w:val="AC5B19"/>
                  <w:sz w:val="21"/>
                  <w:szCs w:val="21"/>
                  <w:lang w:eastAsia="it-IT"/>
                </w:rPr>
                <w:t>LAVORO: P. OCCHETTA, “DIRITTI INDEROGABILI PER GIOVANI” E “VALORE POLITICO FAMIGLIA”</w:t>
              </w:r>
            </w:hyperlink>
            <w:r w:rsidRPr="00E85851"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55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lastRenderedPageBreak/>
              <w:t xml:space="preserve">“La Chiesa non chiede di superare l’idea né dell’economia di mercato né dell’azienda, ma quella di un mercato esclusivamente ripiegato sull’obiettivo del profitto a tutti i costi”. Lo ha detto padre Francesco </w:t>
            </w:r>
            <w:proofErr w:type="spellStart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Occhetta</w:t>
            </w:r>
            <w:proofErr w:type="spellEnd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, scrittore de “La Civiltà Cattolica”, nel suo intervento al convegno </w:t>
            </w:r>
            <w:proofErr w:type="spellStart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Cei</w:t>
            </w:r>
            <w:proofErr w:type="spellEnd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 ...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85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dal Qu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otidiano di Venerdì 24/10/2014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it-IT"/>
              </w:rPr>
            </w:pP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</w:pPr>
            <w:hyperlink r:id="rId16" w:tooltip="clicca qui per leggere l'articolo" w:history="1">
              <w:r w:rsidRPr="00E85851">
                <w:rPr>
                  <w:rFonts w:ascii="Arial" w:eastAsia="Times New Roman" w:hAnsi="Arial" w:cs="Arial"/>
                  <w:b/>
                  <w:bCs/>
                  <w:color w:val="AC5B19"/>
                  <w:sz w:val="21"/>
                  <w:szCs w:val="21"/>
                  <w:lang w:eastAsia="it-IT"/>
                </w:rPr>
                <w:t>LAVORO: MONS. BREGANTINI (CEI), “L’IMPEGNO DI RICUCIRE RETI DI SPERANZA”</w:t>
              </w:r>
            </w:hyperlink>
            <w:r w:rsidRPr="00E85851"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55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“Oggi poter ricucire reti di speranza in un mondo dalle reti vuote è un impegno di grandissima valenza pastorale, oltre che etica e sociale ed anche politica”. Lo ha detto monsignor </w:t>
            </w:r>
            <w:proofErr w:type="spellStart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GianCarlo</w:t>
            </w:r>
            <w:proofErr w:type="spellEnd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Bregantini</w:t>
            </w:r>
            <w:proofErr w:type="spellEnd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, arcivescovo di Campobasso–Bojano e presidente della Commissione episcopale per i </w:t>
            </w:r>
            <w:proofErr w:type="spellStart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probl</w:t>
            </w:r>
            <w:proofErr w:type="spellEnd"/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 ...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85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dal Qu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otidiano di Venerdì 24/10/2014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it-IT"/>
              </w:rPr>
            </w:pP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</w:pPr>
            <w:hyperlink r:id="rId17" w:tooltip="clicca qui per leggere l'articolo" w:history="1">
              <w:r w:rsidRPr="00E85851">
                <w:rPr>
                  <w:rFonts w:ascii="Arial" w:eastAsia="Times New Roman" w:hAnsi="Arial" w:cs="Arial"/>
                  <w:b/>
                  <w:bCs/>
                  <w:color w:val="AC5B19"/>
                  <w:sz w:val="21"/>
                  <w:szCs w:val="21"/>
                  <w:lang w:eastAsia="it-IT"/>
                </w:rPr>
                <w:t>CEI: A SALERNO CONVEGNO NAZIONALE “NELLA PRECARIETÀ LA SPERANZA” (segue)</w:t>
              </w:r>
            </w:hyperlink>
            <w:r w:rsidRPr="00E85851">
              <w:rPr>
                <w:rFonts w:ascii="Arial" w:eastAsia="Times New Roman" w:hAnsi="Arial" w:cs="Arial"/>
                <w:b/>
                <w:bCs/>
                <w:color w:val="AC5B19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851" w:rsidRPr="00E85851" w:rsidRDefault="00E85851" w:rsidP="00E85851">
            <w:pPr>
              <w:spacing w:after="0" w:line="255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E85851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Nel pomeriggio di sabato 25 ottobre, alle 15.30 interverrà monsignor Enrico Solmi su “Giovani, lavoro e famiglia: nella precarietà non lasciamoci rubare la speranza!”. Domenica 26, alle 7.30, monsignor. Luigi Moretti, arcivescovo di Salerno, presiederà la celebrazione eucaristica. Alle 9 l ... </w:t>
            </w:r>
          </w:p>
        </w:tc>
      </w:tr>
      <w:tr w:rsidR="00E85851" w:rsidRPr="00E85851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</w:tcBorders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85851" w:rsidRPr="00E85851" w:rsidRDefault="00E85851" w:rsidP="00E858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85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dal Qu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otidiano di Martedì 21/10/2014 </w:t>
            </w:r>
          </w:p>
        </w:tc>
      </w:tr>
    </w:tbl>
    <w:p w:rsidR="00870BC8" w:rsidRDefault="00870BC8"/>
    <w:sectPr w:rsidR="00870BC8" w:rsidSect="00E85851">
      <w:headerReference w:type="default" r:id="rId18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51" w:rsidRDefault="00E85851" w:rsidP="00E85851">
      <w:pPr>
        <w:spacing w:after="0" w:line="240" w:lineRule="auto"/>
      </w:pPr>
      <w:r>
        <w:separator/>
      </w:r>
    </w:p>
  </w:endnote>
  <w:endnote w:type="continuationSeparator" w:id="0">
    <w:p w:rsidR="00E85851" w:rsidRDefault="00E85851" w:rsidP="00E8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51" w:rsidRDefault="00E85851" w:rsidP="00E85851">
      <w:pPr>
        <w:spacing w:after="0" w:line="240" w:lineRule="auto"/>
      </w:pPr>
      <w:r>
        <w:separator/>
      </w:r>
    </w:p>
  </w:footnote>
  <w:footnote w:type="continuationSeparator" w:id="0">
    <w:p w:rsidR="00E85851" w:rsidRDefault="00E85851" w:rsidP="00E8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1" w:rsidRPr="00E85851" w:rsidRDefault="00E85851" w:rsidP="00E85851">
    <w:pPr>
      <w:pStyle w:val="Intestazione"/>
    </w:pPr>
    <w:r w:rsidRPr="00E85851">
      <w:drawing>
        <wp:inline distT="0" distB="0" distL="0" distR="0" wp14:anchorId="33623E35" wp14:editId="5AF956A3">
          <wp:extent cx="4830445" cy="705485"/>
          <wp:effectExtent l="0" t="0" r="8255" b="0"/>
          <wp:docPr id="12" name="Immagine 12" descr="Servizio Informazione Religios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zio Informazione Religios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44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1"/>
    <w:rsid w:val="00870BC8"/>
    <w:rsid w:val="00E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8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85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851"/>
  </w:style>
  <w:style w:type="paragraph" w:styleId="Pidipagina">
    <w:name w:val="footer"/>
    <w:basedOn w:val="Normale"/>
    <w:link w:val="PidipaginaCarattere"/>
    <w:uiPriority w:val="99"/>
    <w:unhideWhenUsed/>
    <w:rsid w:val="00E85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8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85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851"/>
  </w:style>
  <w:style w:type="paragraph" w:styleId="Pidipagina">
    <w:name w:val="footer"/>
    <w:basedOn w:val="Normale"/>
    <w:link w:val="PidipaginaCarattere"/>
    <w:uiPriority w:val="99"/>
    <w:unhideWhenUsed/>
    <w:rsid w:val="00E85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sir.it/pls/sir/v4_s2doc_a.a_autentication?rifi=&amp;rifp=&amp;tema=Quotidiano&amp;oggetto=297601" TargetMode="External"/><Relationship Id="rId13" Type="http://schemas.openxmlformats.org/officeDocument/2006/relationships/hyperlink" Target="http://www.agensir.it/pls/sir/v4_s2doc_a.a_autentication?rifi=&amp;rifp=&amp;tema=Quotidiano&amp;oggetto=29764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ensir.it/pls/sir/v4_s2doc_a.a_autentication?rifi=&amp;rifp=&amp;tema=Quotidiano&amp;oggetto=297615" TargetMode="External"/><Relationship Id="rId12" Type="http://schemas.openxmlformats.org/officeDocument/2006/relationships/hyperlink" Target="http://www.agensir.it/pls/sir/v4_s2doc_a.a_autentication?rifi=&amp;rifp=&amp;tema=Quotidiano&amp;oggetto=297250" TargetMode="External"/><Relationship Id="rId17" Type="http://schemas.openxmlformats.org/officeDocument/2006/relationships/hyperlink" Target="http://www.agensir.it/pls/sir/v4_s2doc_a.a_autentication?rifi=&amp;rifp=&amp;tema=Quotidiano&amp;oggetto=2972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gensir.it/pls/sir/v4_s2doc_a.a_autentication?rifi=&amp;rifp=&amp;tema=Quotidiano&amp;oggetto=29756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gensir.it/pls/sir/v4_s2doc_a.a_autentication?rifi=&amp;rifp=&amp;tema=Quotidiano&amp;oggetto=2975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gensir.it/pls/sir/v4_s2doc_a.a_autentication?rifi=&amp;rifp=&amp;tema=Quotidiano&amp;oggetto=297571" TargetMode="External"/><Relationship Id="rId10" Type="http://schemas.openxmlformats.org/officeDocument/2006/relationships/hyperlink" Target="http://www.agensir.it/pls/sir/v4_s2doc_a.a_autentication?rifi=&amp;rifp=&amp;tema=Quotidiano&amp;oggetto=29756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ensir.it/pls/sir/v4_s2doc_a.a_autentication?rifi=&amp;rifp=&amp;tema=Quotidiano&amp;oggetto=297585" TargetMode="External"/><Relationship Id="rId14" Type="http://schemas.openxmlformats.org/officeDocument/2006/relationships/hyperlink" Target="http://www.agensir.it/pls/sir/v4_s2doc_a.a_autentication?rifi=&amp;rifp=&amp;tema=Quotidiano&amp;oggetto=29759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gensir.it/pls/sir_new/v3_s2ew_CONSULTAZIONE.mostra_pagina?rifi=&amp;rifp=&amp;id_pagina=33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Scalzo</dc:creator>
  <cp:lastModifiedBy>Piero Scalzo</cp:lastModifiedBy>
  <cp:revision>1</cp:revision>
  <dcterms:created xsi:type="dcterms:W3CDTF">2014-10-27T10:52:00Z</dcterms:created>
  <dcterms:modified xsi:type="dcterms:W3CDTF">2014-10-27T10:56:00Z</dcterms:modified>
</cp:coreProperties>
</file>